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9A31B9" w:rsidRDefault="00F92268" w:rsidP="00850792">
      <w:pPr>
        <w:pStyle w:val="BodyText"/>
        <w:rPr>
          <w:sz w:val="6"/>
          <w:szCs w:val="6"/>
        </w:rPr>
      </w:pPr>
      <w:r w:rsidRPr="009A31B9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9A31B9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9A31B9" w:rsidRDefault="00F92268" w:rsidP="00F246C7">
            <w:pPr>
              <w:pStyle w:val="RefTableData"/>
            </w:pPr>
            <w:r w:rsidRPr="009A31B9">
              <w:t>Reference number(s)</w:t>
            </w:r>
          </w:p>
        </w:tc>
      </w:tr>
      <w:tr w:rsidR="00F92268" w:rsidRPr="009A31B9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AE71018" w:rsidR="00F92268" w:rsidRPr="009A31B9" w:rsidRDefault="00656A16" w:rsidP="00F246C7">
            <w:pPr>
              <w:pStyle w:val="RefTableHeader"/>
            </w:pPr>
            <w:r w:rsidRPr="009A31B9">
              <w:t>1740-A</w:t>
            </w:r>
          </w:p>
        </w:tc>
      </w:tr>
    </w:tbl>
    <w:p w14:paraId="74FBA5B4" w14:textId="77777777" w:rsidR="00051356" w:rsidRPr="009A31B9" w:rsidRDefault="00051356" w:rsidP="00A672B3">
      <w:pPr>
        <w:pStyle w:val="BodyText"/>
        <w:rPr>
          <w:b/>
          <w:bCs/>
          <w:sz w:val="16"/>
          <w:szCs w:val="16"/>
        </w:rPr>
        <w:sectPr w:rsidR="00051356" w:rsidRPr="009A31B9" w:rsidSect="00880E0C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78350B75" w14:textId="3323D6E5" w:rsidR="001D4F50" w:rsidRPr="009A31B9" w:rsidRDefault="008C5FC3" w:rsidP="001D4F50">
      <w:pPr>
        <w:pStyle w:val="Heading1"/>
      </w:pPr>
      <w:r w:rsidRPr="009A31B9">
        <w:t>Specialty Guideline Management</w:t>
      </w:r>
      <w:r w:rsidRPr="009A31B9">
        <w:br/>
        <w:t>Increlex</w:t>
      </w:r>
    </w:p>
    <w:p w14:paraId="78861C92" w14:textId="00F7E6DD" w:rsidR="00203468" w:rsidRPr="009A31B9" w:rsidRDefault="00C64534" w:rsidP="008E0F0D">
      <w:pPr>
        <w:pStyle w:val="Heading2"/>
      </w:pPr>
      <w:r w:rsidRPr="009A31B9">
        <w:t xml:space="preserve">Products Referenced by this </w:t>
      </w:r>
      <w:r w:rsidR="00501602" w:rsidRPr="009A31B9">
        <w:t>Document</w:t>
      </w:r>
    </w:p>
    <w:p w14:paraId="5455152B" w14:textId="52FF67AD" w:rsidR="008E0F0D" w:rsidRPr="009A31B9" w:rsidRDefault="00D82D85" w:rsidP="008B73E8">
      <w:pPr>
        <w:pStyle w:val="BodyText"/>
      </w:pPr>
      <w:r w:rsidRPr="009A31B9">
        <w:t xml:space="preserve">Drugs that are listed in the </w:t>
      </w:r>
      <w:r w:rsidR="000315F1" w:rsidRPr="009A31B9">
        <w:t>following table</w:t>
      </w:r>
      <w:r w:rsidRPr="009A31B9">
        <w:t xml:space="preserve"> include both brand and generic and all dosage forms and strengths unless otherwise stated. </w:t>
      </w:r>
      <w:proofErr w:type="gramStart"/>
      <w:r w:rsidR="00CA342F">
        <w:t>Over</w:t>
      </w:r>
      <w:r w:rsidR="0086430E">
        <w:t>-</w:t>
      </w:r>
      <w:r w:rsidR="00CA342F">
        <w:t>the</w:t>
      </w:r>
      <w:r w:rsidR="0086430E">
        <w:t>-</w:t>
      </w:r>
      <w:r w:rsidR="00CA342F">
        <w:t>counter</w:t>
      </w:r>
      <w:proofErr w:type="gramEnd"/>
      <w:r w:rsidR="00CA342F">
        <w:t xml:space="preserve"> (</w:t>
      </w:r>
      <w:r w:rsidRPr="009A31B9">
        <w:t>OTC</w:t>
      </w:r>
      <w:r w:rsidR="00CA342F">
        <w:t>)</w:t>
      </w:r>
      <w:r w:rsidRPr="009A31B9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9A31B9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9A31B9" w:rsidRDefault="00252CE1" w:rsidP="00AA1E6A">
            <w:pPr>
              <w:pStyle w:val="TableHeader"/>
            </w:pPr>
            <w:bookmarkStart w:id="0" w:name="_Hlk159603270"/>
            <w:r w:rsidRPr="009A31B9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9A31B9" w:rsidRDefault="00252CE1" w:rsidP="00AA1E6A">
            <w:pPr>
              <w:pStyle w:val="TableHeader"/>
            </w:pPr>
            <w:r w:rsidRPr="009A31B9">
              <w:t>Generic Name</w:t>
            </w:r>
          </w:p>
        </w:tc>
      </w:tr>
      <w:tr w:rsidR="00585FFF" w:rsidRPr="009A31B9" w14:paraId="2AD5C02D" w14:textId="77777777" w:rsidTr="000C5A6F">
        <w:trPr>
          <w:cantSplit/>
        </w:trPr>
        <w:tc>
          <w:tcPr>
            <w:tcW w:w="5265" w:type="dxa"/>
          </w:tcPr>
          <w:p w14:paraId="2D8FA8E3" w14:textId="254928F5" w:rsidR="00585FFF" w:rsidRPr="009A31B9" w:rsidRDefault="008C5FC3" w:rsidP="001D4F50">
            <w:pPr>
              <w:pStyle w:val="TableDataUnpadded"/>
              <w:tabs>
                <w:tab w:val="left" w:pos="3828"/>
              </w:tabs>
            </w:pPr>
            <w:r w:rsidRPr="009A31B9">
              <w:t>Increlex</w:t>
            </w:r>
          </w:p>
        </w:tc>
        <w:tc>
          <w:tcPr>
            <w:tcW w:w="5595" w:type="dxa"/>
          </w:tcPr>
          <w:p w14:paraId="7E26A004" w14:textId="7744F69F" w:rsidR="00585FFF" w:rsidRPr="009A31B9" w:rsidRDefault="001D4F50" w:rsidP="00E82ABA">
            <w:pPr>
              <w:pStyle w:val="TableDataUnpadded"/>
            </w:pPr>
            <w:r w:rsidRPr="009A31B9">
              <w:t>mecasermin</w:t>
            </w:r>
          </w:p>
        </w:tc>
      </w:tr>
    </w:tbl>
    <w:bookmarkEnd w:id="0"/>
    <w:p w14:paraId="14CE6108" w14:textId="41604D54" w:rsidR="00FC1AAD" w:rsidRPr="009A31B9" w:rsidRDefault="00ED052F" w:rsidP="00FF66BF">
      <w:pPr>
        <w:pStyle w:val="Heading2"/>
        <w:tabs>
          <w:tab w:val="left" w:pos="9195"/>
        </w:tabs>
      </w:pPr>
      <w:r w:rsidRPr="009A31B9">
        <w:t>Indications</w:t>
      </w:r>
    </w:p>
    <w:p w14:paraId="4C1EC152" w14:textId="16C2ABD7" w:rsidR="001D4F50" w:rsidRPr="009A31B9" w:rsidRDefault="001D4F50" w:rsidP="001D4F50">
      <w:pPr>
        <w:pStyle w:val="BodyText"/>
      </w:pPr>
      <w:r w:rsidRPr="009A31B9">
        <w:t xml:space="preserve">The indications below including FDA-approved indications and compendial uses are considered a covered benefit provided that all the approval criteria are </w:t>
      </w:r>
      <w:proofErr w:type="gramStart"/>
      <w:r w:rsidRPr="009A31B9">
        <w:t>met</w:t>
      </w:r>
      <w:proofErr w:type="gramEnd"/>
      <w:r w:rsidRPr="009A31B9">
        <w:t xml:space="preserve"> and the member has no contraindications or exclusions to the prescribed therapy.</w:t>
      </w:r>
    </w:p>
    <w:p w14:paraId="688719BD" w14:textId="333B1CAC" w:rsidR="002F517F" w:rsidRPr="009A31B9" w:rsidRDefault="00ED052F" w:rsidP="00ED052F">
      <w:pPr>
        <w:pStyle w:val="Heading3"/>
        <w:keepNext w:val="0"/>
      </w:pPr>
      <w:r w:rsidRPr="009A31B9">
        <w:t>FDA-</w:t>
      </w:r>
      <w:r w:rsidR="008C5FC3" w:rsidRPr="009A31B9">
        <w:t>A</w:t>
      </w:r>
      <w:r w:rsidRPr="009A31B9">
        <w:t>pproved Indications</w:t>
      </w:r>
      <w:r w:rsidR="00DE7C8E" w:rsidRPr="009A31B9">
        <w:rPr>
          <w:vertAlign w:val="superscript"/>
        </w:rPr>
        <w:t>1</w:t>
      </w:r>
    </w:p>
    <w:p w14:paraId="0CCB55AD" w14:textId="26836D54" w:rsidR="002F517F" w:rsidRPr="009A31B9" w:rsidRDefault="002F517F" w:rsidP="008C5FC3">
      <w:pPr>
        <w:pStyle w:val="BodyText"/>
        <w:rPr>
          <w:b/>
          <w:bCs/>
        </w:rPr>
      </w:pPr>
      <w:r w:rsidRPr="009A31B9">
        <w:t>Increlex is indicated for the treatment of growth failure in pediatric patients 2 years of age and older with severe primary insulin-like growth factor-1 (IGF-1) deficiency or with growth hormone (GH) gene deletion who have developed neutralizing antibodies to GH.</w:t>
      </w:r>
    </w:p>
    <w:p w14:paraId="477709F2" w14:textId="1B05FE58" w:rsidR="002F517F" w:rsidRPr="009A31B9" w:rsidRDefault="002F517F" w:rsidP="008C5FC3">
      <w:pPr>
        <w:pStyle w:val="BodyText"/>
      </w:pPr>
      <w:r w:rsidRPr="009A31B9">
        <w:t>Severe primary IGF-1 deficiency is defined by:</w:t>
      </w:r>
    </w:p>
    <w:p w14:paraId="7AB81FCD" w14:textId="4FFB2CBE" w:rsidR="002F517F" w:rsidRPr="009A31B9" w:rsidRDefault="002F517F" w:rsidP="002F517F">
      <w:pPr>
        <w:pStyle w:val="ListParagraph"/>
        <w:numPr>
          <w:ilvl w:val="0"/>
          <w:numId w:val="27"/>
        </w:numPr>
      </w:pPr>
      <w:r w:rsidRPr="009A31B9">
        <w:t xml:space="preserve">Height standard deviation (SD) score </w:t>
      </w:r>
      <w:r w:rsidRPr="009A31B9">
        <w:rPr>
          <w:rFonts w:ascii="Arial" w:hAnsi="Arial"/>
        </w:rPr>
        <w:t>≤</w:t>
      </w:r>
      <w:r w:rsidRPr="009A31B9">
        <w:t xml:space="preserve"> </w:t>
      </w:r>
      <w:r w:rsidRPr="009A31B9">
        <w:rPr>
          <w:rFonts w:cs="CVS Health Sans"/>
        </w:rPr>
        <w:t>–</w:t>
      </w:r>
      <w:r w:rsidRPr="009A31B9">
        <w:t>3.0 and</w:t>
      </w:r>
    </w:p>
    <w:p w14:paraId="5FC684DF" w14:textId="71F04665" w:rsidR="002F517F" w:rsidRPr="009A31B9" w:rsidRDefault="002F517F" w:rsidP="002F517F">
      <w:pPr>
        <w:pStyle w:val="ListParagraph"/>
        <w:numPr>
          <w:ilvl w:val="0"/>
          <w:numId w:val="27"/>
        </w:numPr>
      </w:pPr>
      <w:r w:rsidRPr="009A31B9">
        <w:t xml:space="preserve">Basal IGF-1 SD score </w:t>
      </w:r>
      <w:r w:rsidRPr="009A31B9">
        <w:rPr>
          <w:rFonts w:ascii="Arial" w:hAnsi="Arial"/>
        </w:rPr>
        <w:t>≤</w:t>
      </w:r>
      <w:r w:rsidRPr="009A31B9">
        <w:t xml:space="preserve"> </w:t>
      </w:r>
      <w:r w:rsidRPr="009A31B9">
        <w:rPr>
          <w:rFonts w:cs="CVS Health Sans"/>
        </w:rPr>
        <w:t>–</w:t>
      </w:r>
      <w:r w:rsidRPr="009A31B9">
        <w:t>3.0 and</w:t>
      </w:r>
    </w:p>
    <w:p w14:paraId="61EFCC5F" w14:textId="29C97493" w:rsidR="002F517F" w:rsidRPr="009A31B9" w:rsidRDefault="002F517F" w:rsidP="008C5FC3">
      <w:pPr>
        <w:pStyle w:val="ListParagraph"/>
        <w:numPr>
          <w:ilvl w:val="0"/>
          <w:numId w:val="27"/>
        </w:numPr>
        <w:spacing w:after="120"/>
      </w:pPr>
      <w:r w:rsidRPr="009A31B9">
        <w:t>Normal or elevated GH.</w:t>
      </w:r>
    </w:p>
    <w:p w14:paraId="4310105F" w14:textId="3089E3D3" w:rsidR="002F517F" w:rsidRPr="009A31B9" w:rsidRDefault="002F517F" w:rsidP="008C5FC3">
      <w:pPr>
        <w:pStyle w:val="BodyText"/>
        <w:rPr>
          <w:b/>
          <w:bCs/>
        </w:rPr>
      </w:pPr>
      <w:r w:rsidRPr="009A31B9">
        <w:t>Limitations of use: Increlex is not a substitute to GH for approved GH indications. Increlex is not indicated for use in patients with secondary forms of IGF-1 deficiency, such as GH deficiency, malnutrition, hypothyroidism, or chronic treatment with pharmacologic doses of anti-inflammatory corticosteroids.</w:t>
      </w:r>
    </w:p>
    <w:p w14:paraId="71025CFC" w14:textId="34F5E6E0" w:rsidR="001D4F50" w:rsidRPr="009A31B9" w:rsidRDefault="002F517F" w:rsidP="008C5FC3">
      <w:pPr>
        <w:pStyle w:val="BodyText"/>
        <w:rPr>
          <w:b/>
          <w:bCs/>
        </w:rPr>
      </w:pPr>
      <w:r w:rsidRPr="009A31B9">
        <w:t>All other indications are considered experimental/investigational and not medically necessary.</w:t>
      </w:r>
    </w:p>
    <w:p w14:paraId="36381B6D" w14:textId="3E912AD6" w:rsidR="000D2496" w:rsidRPr="009A31B9" w:rsidRDefault="000D2496" w:rsidP="00B40DD7">
      <w:pPr>
        <w:pStyle w:val="Heading2"/>
        <w:tabs>
          <w:tab w:val="left" w:pos="8422"/>
        </w:tabs>
      </w:pPr>
      <w:r w:rsidRPr="009A31B9">
        <w:lastRenderedPageBreak/>
        <w:t>Documentation</w:t>
      </w:r>
    </w:p>
    <w:p w14:paraId="7AF256D6" w14:textId="1E90BEB6" w:rsidR="008F354F" w:rsidRPr="009A31B9" w:rsidRDefault="008F354F" w:rsidP="00004B5E">
      <w:pPr>
        <w:pStyle w:val="BodyText"/>
      </w:pPr>
      <w:r w:rsidRPr="009A31B9">
        <w:t>Submission of the following information is necessary to initiate the prior authorization review:</w:t>
      </w:r>
    </w:p>
    <w:p w14:paraId="33FCEA6A" w14:textId="3FF5400D" w:rsidR="00556595" w:rsidRDefault="00556595" w:rsidP="00556595">
      <w:r>
        <w:t>Initial requests:</w:t>
      </w:r>
    </w:p>
    <w:p w14:paraId="3EC65648" w14:textId="2E88DD7B" w:rsidR="00556595" w:rsidRDefault="00556595" w:rsidP="00556595">
      <w:pPr>
        <w:pStyle w:val="ListParagraph"/>
        <w:numPr>
          <w:ilvl w:val="0"/>
          <w:numId w:val="36"/>
        </w:numPr>
      </w:pPr>
      <w:r>
        <w:t>Growth chart</w:t>
      </w:r>
    </w:p>
    <w:p w14:paraId="0D67A1A1" w14:textId="282E6582" w:rsidR="00556595" w:rsidRDefault="00556595" w:rsidP="00556595">
      <w:pPr>
        <w:pStyle w:val="ListParagraph"/>
        <w:numPr>
          <w:ilvl w:val="0"/>
          <w:numId w:val="36"/>
        </w:numPr>
      </w:pPr>
      <w:r>
        <w:t xml:space="preserve">Pretreatment </w:t>
      </w:r>
      <w:r w:rsidR="00A31618">
        <w:t>insulin-like growth factor-1 (</w:t>
      </w:r>
      <w:r>
        <w:t xml:space="preserve">IGF-1) level (laboratory report or medical record </w:t>
      </w:r>
      <w:proofErr w:type="gramStart"/>
      <w:r>
        <w:t>documentation)*</w:t>
      </w:r>
      <w:proofErr w:type="gramEnd"/>
    </w:p>
    <w:p w14:paraId="68AC18D7" w14:textId="1EFC158B" w:rsidR="00556595" w:rsidRDefault="6C40768D" w:rsidP="00B40DD7">
      <w:pPr>
        <w:pStyle w:val="ListParagraph"/>
      </w:pPr>
      <w:r>
        <w:t>G</w:t>
      </w:r>
      <w:r w:rsidR="00556595">
        <w:t>rowth hormone provocative test result(s) (laboratory report or medical record documentation)</w:t>
      </w:r>
    </w:p>
    <w:p w14:paraId="2859691B" w14:textId="579CC34B" w:rsidR="00556595" w:rsidRDefault="00556595" w:rsidP="00B40DD7">
      <w:pPr>
        <w:spacing w:before="240"/>
      </w:pPr>
      <w:r>
        <w:t>C</w:t>
      </w:r>
      <w:r w:rsidRPr="00556595">
        <w:t>ontinuation of therapy requests:</w:t>
      </w:r>
    </w:p>
    <w:p w14:paraId="31E360BF" w14:textId="407E95F4" w:rsidR="008F354F" w:rsidRPr="009A31B9" w:rsidRDefault="008F354F" w:rsidP="008F354F">
      <w:pPr>
        <w:pStyle w:val="ListParagraph"/>
        <w:numPr>
          <w:ilvl w:val="0"/>
          <w:numId w:val="28"/>
        </w:numPr>
      </w:pPr>
      <w:r w:rsidRPr="009A31B9">
        <w:t>Total duration of treatment (approximate duration is acceptable)</w:t>
      </w:r>
    </w:p>
    <w:p w14:paraId="478085E7" w14:textId="173DFF79" w:rsidR="008F354F" w:rsidRPr="009A31B9" w:rsidRDefault="008F354F" w:rsidP="008F354F">
      <w:pPr>
        <w:pStyle w:val="ListParagraph"/>
        <w:numPr>
          <w:ilvl w:val="0"/>
          <w:numId w:val="28"/>
        </w:numPr>
      </w:pPr>
      <w:r w:rsidRPr="009A31B9">
        <w:t>Date of last dose administered</w:t>
      </w:r>
    </w:p>
    <w:p w14:paraId="4917418B" w14:textId="534B990A" w:rsidR="008F354F" w:rsidRPr="009A31B9" w:rsidRDefault="008F354F" w:rsidP="008F354F">
      <w:pPr>
        <w:pStyle w:val="ListParagraph"/>
        <w:numPr>
          <w:ilvl w:val="0"/>
          <w:numId w:val="28"/>
        </w:numPr>
      </w:pPr>
      <w:r w:rsidRPr="009A31B9">
        <w:t>Approving health plan/pharmacy benefit manager</w:t>
      </w:r>
    </w:p>
    <w:p w14:paraId="04716805" w14:textId="256E65A4" w:rsidR="008F354F" w:rsidRPr="009A31B9" w:rsidRDefault="008F354F" w:rsidP="008F354F">
      <w:pPr>
        <w:pStyle w:val="ListParagraph"/>
        <w:numPr>
          <w:ilvl w:val="0"/>
          <w:numId w:val="28"/>
        </w:numPr>
      </w:pPr>
      <w:r w:rsidRPr="009A31B9">
        <w:t>Date of prior authorization/approval</w:t>
      </w:r>
    </w:p>
    <w:p w14:paraId="1A4FCDBD" w14:textId="2067ACEF" w:rsidR="008F354F" w:rsidRDefault="008F354F" w:rsidP="008F354F">
      <w:pPr>
        <w:pStyle w:val="ListParagraph"/>
        <w:numPr>
          <w:ilvl w:val="0"/>
          <w:numId w:val="28"/>
        </w:numPr>
      </w:pPr>
      <w:r w:rsidRPr="009A31B9">
        <w:t>Prior authorization approval letter</w:t>
      </w:r>
    </w:p>
    <w:p w14:paraId="234B5900" w14:textId="4CCFD879" w:rsidR="00AD7C9E" w:rsidRPr="009A31B9" w:rsidRDefault="00AD7C9E" w:rsidP="00B40DD7">
      <w:pPr>
        <w:pStyle w:val="BodyText"/>
        <w:spacing w:before="240"/>
      </w:pPr>
      <w:r w:rsidRPr="00CD5363">
        <w:t>* IGF-1 levels vary based on the laboratory performing the analysis. Laboratory-specific values must be provided to determine whether the value is within the normal range.</w:t>
      </w:r>
    </w:p>
    <w:p w14:paraId="1620506A" w14:textId="62909389" w:rsidR="008F354F" w:rsidRPr="009A31B9" w:rsidRDefault="008C5FC3" w:rsidP="008F354F">
      <w:pPr>
        <w:pStyle w:val="Heading2"/>
        <w:rPr>
          <w:rFonts w:eastAsia="Arial"/>
        </w:rPr>
      </w:pPr>
      <w:r w:rsidRPr="009A31B9">
        <w:rPr>
          <w:rFonts w:eastAsia="Arial"/>
        </w:rPr>
        <w:t>Coverage Criteria</w:t>
      </w:r>
    </w:p>
    <w:p w14:paraId="7DDAC4FC" w14:textId="0D58FF5B" w:rsidR="00016A2E" w:rsidRPr="009A31B9" w:rsidRDefault="005866F7" w:rsidP="008C5FC3">
      <w:pPr>
        <w:pStyle w:val="Heading3"/>
        <w:keepNext w:val="0"/>
      </w:pPr>
      <w:r w:rsidRPr="009A31B9">
        <w:t>Severe Primary IGF-1 Deficiency</w:t>
      </w:r>
      <w:r w:rsidRPr="009A31B9">
        <w:rPr>
          <w:vertAlign w:val="superscript"/>
        </w:rPr>
        <w:t>1</w:t>
      </w:r>
    </w:p>
    <w:p w14:paraId="1E8F212F" w14:textId="31F12163" w:rsidR="005866F7" w:rsidRPr="009A31B9" w:rsidRDefault="005866F7" w:rsidP="00EC714B">
      <w:pPr>
        <w:pStyle w:val="BodyText"/>
      </w:pPr>
      <w:r w:rsidRPr="009A31B9">
        <w:t xml:space="preserve">Authorization of 12 months may be granted to members with severe primary IGF-1 deficiency or GH gene deletion with neutralizing antibodies to GH when </w:t>
      </w:r>
      <w:proofErr w:type="gramStart"/>
      <w:r w:rsidR="0081248A">
        <w:t>all</w:t>
      </w:r>
      <w:r w:rsidRPr="009A31B9">
        <w:t xml:space="preserve"> of</w:t>
      </w:r>
      <w:proofErr w:type="gramEnd"/>
      <w:r w:rsidRPr="009A31B9">
        <w:t xml:space="preserve"> the following criteria are met:</w:t>
      </w:r>
    </w:p>
    <w:p w14:paraId="7FE3FE74" w14:textId="58A6F551" w:rsidR="005866F7" w:rsidRPr="009A31B9" w:rsidRDefault="005866F7" w:rsidP="008C5FC3">
      <w:pPr>
        <w:pStyle w:val="ListParagraph"/>
        <w:numPr>
          <w:ilvl w:val="0"/>
          <w:numId w:val="33"/>
        </w:numPr>
      </w:pPr>
      <w:r w:rsidRPr="009A31B9">
        <w:t xml:space="preserve">Pretreatment height is </w:t>
      </w:r>
      <w:r w:rsidRPr="009A31B9">
        <w:rPr>
          <w:rFonts w:ascii="Arial" w:hAnsi="Arial"/>
        </w:rPr>
        <w:t>≥</w:t>
      </w:r>
      <w:r w:rsidRPr="009A31B9">
        <w:t xml:space="preserve"> 3 standard deviations (SD) below the mean for age and gender</w:t>
      </w:r>
    </w:p>
    <w:p w14:paraId="3360CA83" w14:textId="181E0B61" w:rsidR="005866F7" w:rsidRPr="009A31B9" w:rsidRDefault="005866F7" w:rsidP="008C5FC3">
      <w:pPr>
        <w:pStyle w:val="ListParagraph"/>
        <w:numPr>
          <w:ilvl w:val="0"/>
          <w:numId w:val="33"/>
        </w:numPr>
      </w:pPr>
      <w:r w:rsidRPr="009A31B9">
        <w:t xml:space="preserve">Pretreatment basal IGF-1 level is </w:t>
      </w:r>
      <w:r w:rsidRPr="009A31B9">
        <w:rPr>
          <w:rFonts w:ascii="Arial" w:hAnsi="Arial"/>
        </w:rPr>
        <w:t>≥</w:t>
      </w:r>
      <w:r w:rsidRPr="009A31B9">
        <w:t xml:space="preserve"> 3 SD below the mean for age and gender</w:t>
      </w:r>
    </w:p>
    <w:p w14:paraId="4797D5CD" w14:textId="53A751BE" w:rsidR="005866F7" w:rsidRPr="009A31B9" w:rsidRDefault="005866F7" w:rsidP="008C5FC3">
      <w:pPr>
        <w:pStyle w:val="ListParagraph"/>
        <w:numPr>
          <w:ilvl w:val="0"/>
          <w:numId w:val="33"/>
        </w:numPr>
      </w:pPr>
      <w:r w:rsidRPr="009A31B9">
        <w:t xml:space="preserve">Pediatric GH deficiency has been ruled out with a provocative GH test (i.e., peak GH level </w:t>
      </w:r>
      <w:r w:rsidRPr="009A31B9">
        <w:rPr>
          <w:rFonts w:ascii="Arial" w:hAnsi="Arial"/>
        </w:rPr>
        <w:t>≥</w:t>
      </w:r>
      <w:r w:rsidRPr="009A31B9">
        <w:t xml:space="preserve"> 10 ng/mL)</w:t>
      </w:r>
    </w:p>
    <w:p w14:paraId="0C59CCF6" w14:textId="26F1EE98" w:rsidR="005866F7" w:rsidRPr="009A31B9" w:rsidRDefault="005866F7" w:rsidP="008C5FC3">
      <w:pPr>
        <w:pStyle w:val="ListParagraph"/>
        <w:numPr>
          <w:ilvl w:val="0"/>
          <w:numId w:val="33"/>
        </w:numPr>
      </w:pPr>
      <w:r w:rsidRPr="009A31B9">
        <w:t>Epiphyses are open</w:t>
      </w:r>
    </w:p>
    <w:p w14:paraId="3A643EC3" w14:textId="163B07F3" w:rsidR="00A501AC" w:rsidRPr="00B40DD7" w:rsidRDefault="00A501AC" w:rsidP="00A501AC">
      <w:pPr>
        <w:pStyle w:val="Heading2"/>
        <w:rPr>
          <w:vertAlign w:val="superscript"/>
        </w:rPr>
      </w:pPr>
      <w:r w:rsidRPr="009A31B9">
        <w:t>Continuation of Therapy</w:t>
      </w:r>
    </w:p>
    <w:p w14:paraId="36F98A26" w14:textId="0A9AA191" w:rsidR="005866F7" w:rsidRPr="009A31B9" w:rsidRDefault="005866F7" w:rsidP="005866F7">
      <w:pPr>
        <w:pStyle w:val="BodyText"/>
      </w:pPr>
      <w:r w:rsidRPr="009A31B9">
        <w:t xml:space="preserve">Authorization of 12 months may be granted for continuation of therapy for severe primary IGF-1 deficiency or GH gene deletion with neutralizing antibodies to GH when </w:t>
      </w:r>
      <w:r w:rsidR="0081248A">
        <w:t>both</w:t>
      </w:r>
      <w:r w:rsidRPr="009A31B9">
        <w:t xml:space="preserve"> of the following criteria are met:</w:t>
      </w:r>
    </w:p>
    <w:p w14:paraId="0DDA5307" w14:textId="6934FFE8" w:rsidR="005866F7" w:rsidRPr="009A31B9" w:rsidRDefault="005866F7" w:rsidP="008C5FC3">
      <w:pPr>
        <w:pStyle w:val="ListParagraph"/>
        <w:numPr>
          <w:ilvl w:val="0"/>
          <w:numId w:val="34"/>
        </w:numPr>
      </w:pPr>
      <w:r w:rsidRPr="009A31B9">
        <w:t>The member’s growth rate is &gt; 2 cm/year or there is a documented clinical reason for lack of efficacy (e.g., on treatment less than 1 year, nearing final adult height/late stages of puberty).</w:t>
      </w:r>
    </w:p>
    <w:p w14:paraId="4AF16554" w14:textId="54CF3CCF" w:rsidR="005866F7" w:rsidRPr="009A31B9" w:rsidRDefault="005866F7" w:rsidP="008C5FC3">
      <w:pPr>
        <w:pStyle w:val="ListParagraph"/>
        <w:numPr>
          <w:ilvl w:val="0"/>
          <w:numId w:val="34"/>
        </w:numPr>
      </w:pPr>
      <w:r w:rsidRPr="009A31B9">
        <w:t>Epiphyses are open (confirmed by X-ray or X-ray is not available).</w:t>
      </w:r>
    </w:p>
    <w:p w14:paraId="10DA4309" w14:textId="4BFA0696" w:rsidR="00FF66BF" w:rsidRPr="009A31B9" w:rsidRDefault="00FF66BF" w:rsidP="00FF66BF">
      <w:pPr>
        <w:pStyle w:val="Heading2"/>
      </w:pPr>
      <w:r w:rsidRPr="009A31B9">
        <w:lastRenderedPageBreak/>
        <w:t>References</w:t>
      </w:r>
    </w:p>
    <w:p w14:paraId="08CE468D" w14:textId="09468D36" w:rsidR="00866B93" w:rsidRPr="00B40DD7" w:rsidRDefault="00866B93" w:rsidP="00866B93">
      <w:pPr>
        <w:pStyle w:val="ReferenceOrdered"/>
        <w:rPr>
          <w:lang w:val="en-IN" w:eastAsia="en-IN"/>
        </w:rPr>
      </w:pPr>
      <w:r w:rsidRPr="009A31B9">
        <w:rPr>
          <w:lang w:eastAsia="en-IN"/>
        </w:rPr>
        <w:t xml:space="preserve">Increlex [package insert]. Cambridge, MA: Ipsen Biopharmaceuticals, Inc.; </w:t>
      </w:r>
      <w:r w:rsidR="00B8170E">
        <w:rPr>
          <w:lang w:eastAsia="en-IN"/>
        </w:rPr>
        <w:t>March</w:t>
      </w:r>
      <w:r w:rsidRPr="009A31B9">
        <w:rPr>
          <w:lang w:eastAsia="en-IN"/>
        </w:rPr>
        <w:t xml:space="preserve"> 202</w:t>
      </w:r>
      <w:r w:rsidR="00B8170E">
        <w:rPr>
          <w:lang w:eastAsia="en-IN"/>
        </w:rPr>
        <w:t>4</w:t>
      </w:r>
      <w:r w:rsidRPr="009A31B9">
        <w:rPr>
          <w:lang w:eastAsia="en-IN"/>
        </w:rPr>
        <w:t>.</w:t>
      </w:r>
    </w:p>
    <w:p w14:paraId="55525D67" w14:textId="01C09374" w:rsidR="00D515CB" w:rsidRPr="00B40DD7" w:rsidRDefault="00D515CB" w:rsidP="00D515CB">
      <w:pPr>
        <w:pStyle w:val="ReferenceOrdered"/>
        <w:rPr>
          <w:lang w:val="en-IN" w:eastAsia="en-IN"/>
        </w:rPr>
      </w:pPr>
      <w:proofErr w:type="spellStart"/>
      <w:r w:rsidRPr="00D515CB">
        <w:rPr>
          <w:lang w:val="en-IN" w:eastAsia="en-IN"/>
        </w:rPr>
        <w:t>Grimberg</w:t>
      </w:r>
      <w:proofErr w:type="spellEnd"/>
      <w:r w:rsidRPr="00D515CB">
        <w:rPr>
          <w:lang w:val="en-IN" w:eastAsia="en-IN"/>
        </w:rPr>
        <w:t xml:space="preserve"> A, </w:t>
      </w:r>
      <w:proofErr w:type="spellStart"/>
      <w:r w:rsidRPr="00D515CB">
        <w:rPr>
          <w:lang w:val="en-IN" w:eastAsia="en-IN"/>
        </w:rPr>
        <w:t>DiVall</w:t>
      </w:r>
      <w:proofErr w:type="spellEnd"/>
      <w:r w:rsidRPr="00D515CB">
        <w:rPr>
          <w:lang w:val="en-IN" w:eastAsia="en-IN"/>
        </w:rPr>
        <w:t xml:space="preserve"> SA, </w:t>
      </w:r>
      <w:proofErr w:type="spellStart"/>
      <w:r w:rsidRPr="00D515CB">
        <w:rPr>
          <w:lang w:val="en-IN" w:eastAsia="en-IN"/>
        </w:rPr>
        <w:t>Polychronakos</w:t>
      </w:r>
      <w:proofErr w:type="spellEnd"/>
      <w:r w:rsidRPr="00D515CB">
        <w:rPr>
          <w:lang w:val="en-IN" w:eastAsia="en-IN"/>
        </w:rPr>
        <w:t xml:space="preserve"> C, et al. Guidelines for growth hormone and insulin-like growth factor-I treatment in children and adolescents: growth hormone deficiency, idiopathic short stature, and primary insulin-like growth factor-I deficiency. </w:t>
      </w:r>
      <w:proofErr w:type="spellStart"/>
      <w:r w:rsidRPr="00D515CB">
        <w:rPr>
          <w:lang w:val="en-IN" w:eastAsia="en-IN"/>
        </w:rPr>
        <w:t>Horm</w:t>
      </w:r>
      <w:proofErr w:type="spellEnd"/>
      <w:r w:rsidRPr="00D515CB">
        <w:rPr>
          <w:lang w:val="en-IN" w:eastAsia="en-IN"/>
        </w:rPr>
        <w:t xml:space="preserve"> Res </w:t>
      </w:r>
      <w:proofErr w:type="spellStart"/>
      <w:r w:rsidRPr="00D515CB">
        <w:rPr>
          <w:lang w:val="en-IN" w:eastAsia="en-IN"/>
        </w:rPr>
        <w:t>Paediatr</w:t>
      </w:r>
      <w:proofErr w:type="spellEnd"/>
      <w:r w:rsidRPr="00D515CB">
        <w:rPr>
          <w:lang w:val="en-IN" w:eastAsia="en-IN"/>
        </w:rPr>
        <w:t xml:space="preserve">. </w:t>
      </w:r>
      <w:proofErr w:type="gramStart"/>
      <w:r w:rsidRPr="00D515CB">
        <w:rPr>
          <w:lang w:val="en-IN" w:eastAsia="en-IN"/>
        </w:rPr>
        <w:t>2016;86:361</w:t>
      </w:r>
      <w:proofErr w:type="gramEnd"/>
      <w:r w:rsidRPr="00D515CB">
        <w:rPr>
          <w:lang w:val="en-IN" w:eastAsia="en-IN"/>
        </w:rPr>
        <w:t>-397.</w:t>
      </w:r>
    </w:p>
    <w:p w14:paraId="0E0F790A" w14:textId="4C2DC5D7" w:rsidR="00D515CB" w:rsidRPr="00B40DD7" w:rsidRDefault="00D515CB" w:rsidP="00D515CB">
      <w:pPr>
        <w:pStyle w:val="ReferenceOrdered"/>
        <w:rPr>
          <w:lang w:val="en-IN" w:eastAsia="en-IN"/>
        </w:rPr>
      </w:pPr>
      <w:r w:rsidRPr="00D515CB">
        <w:rPr>
          <w:lang w:val="en-IN" w:eastAsia="en-IN"/>
        </w:rPr>
        <w:t xml:space="preserve">Franklin SL, </w:t>
      </w:r>
      <w:proofErr w:type="spellStart"/>
      <w:r w:rsidRPr="00D515CB">
        <w:rPr>
          <w:lang w:val="en-IN" w:eastAsia="en-IN"/>
        </w:rPr>
        <w:t>Geffner</w:t>
      </w:r>
      <w:proofErr w:type="spellEnd"/>
      <w:r w:rsidRPr="00D515CB">
        <w:rPr>
          <w:lang w:val="en-IN" w:eastAsia="en-IN"/>
        </w:rPr>
        <w:t xml:space="preserve"> ME. Growth hormone: the expansion of available products and indications. </w:t>
      </w:r>
      <w:proofErr w:type="spellStart"/>
      <w:r w:rsidRPr="00D515CB">
        <w:rPr>
          <w:lang w:val="en-IN" w:eastAsia="en-IN"/>
        </w:rPr>
        <w:t>Pediatr</w:t>
      </w:r>
      <w:proofErr w:type="spellEnd"/>
      <w:r w:rsidRPr="00D515CB">
        <w:rPr>
          <w:lang w:val="en-IN" w:eastAsia="en-IN"/>
        </w:rPr>
        <w:t xml:space="preserve"> Clin North Am. </w:t>
      </w:r>
      <w:proofErr w:type="gramStart"/>
      <w:r w:rsidRPr="00D515CB">
        <w:rPr>
          <w:lang w:val="en-IN" w:eastAsia="en-IN"/>
        </w:rPr>
        <w:t>2011;58:1141</w:t>
      </w:r>
      <w:proofErr w:type="gramEnd"/>
      <w:r w:rsidRPr="00D515CB">
        <w:rPr>
          <w:lang w:val="en-IN" w:eastAsia="en-IN"/>
        </w:rPr>
        <w:t>-1165.</w:t>
      </w:r>
    </w:p>
    <w:sectPr w:rsidR="00D515CB" w:rsidRPr="00B40DD7" w:rsidSect="00880E0C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F087" w14:textId="77777777" w:rsidR="00A55006" w:rsidRDefault="00A55006">
      <w:r>
        <w:separator/>
      </w:r>
    </w:p>
  </w:endnote>
  <w:endnote w:type="continuationSeparator" w:id="0">
    <w:p w14:paraId="5316753F" w14:textId="77777777" w:rsidR="00A55006" w:rsidRDefault="00A55006">
      <w:r>
        <w:continuationSeparator/>
      </w:r>
    </w:p>
  </w:endnote>
  <w:endnote w:type="continuationNotice" w:id="1">
    <w:p w14:paraId="6111C445" w14:textId="77777777" w:rsidR="00A55006" w:rsidRDefault="00A55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08F0A63E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A3969" w:rsidRPr="00CA3969">
      <w:rPr>
        <w:rFonts w:cs="Arial"/>
        <w:noProof/>
        <w:sz w:val="16"/>
        <w:szCs w:val="16"/>
      </w:rPr>
      <w:t>Increlex</w:t>
    </w:r>
    <w:r w:rsidR="00CA3969">
      <w:rPr>
        <w:rFonts w:cs="Arial"/>
        <w:noProof/>
        <w:snapToGrid w:val="0"/>
        <w:color w:val="000000"/>
        <w:sz w:val="16"/>
        <w:szCs w:val="16"/>
      </w:rPr>
      <w:t xml:space="preserve"> SGM 1740-A</w:t>
    </w:r>
    <w:r w:rsidR="00CA3969" w:rsidRPr="00CA3969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D6E02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A14F365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AC0FAAC" w:rsidR="00F75C81" w:rsidRPr="00AA1E6A" w:rsidRDefault="00C36B72" w:rsidP="00466B0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FB3C4C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17FDB" w:rsidRPr="00917FDB">
      <w:rPr>
        <w:rFonts w:cs="Arial"/>
        <w:noProof/>
        <w:sz w:val="16"/>
        <w:szCs w:val="16"/>
      </w:rPr>
      <w:t>Increlex</w:t>
    </w:r>
    <w:r w:rsidR="00917FDB">
      <w:rPr>
        <w:rFonts w:cs="Arial"/>
        <w:noProof/>
        <w:snapToGrid w:val="0"/>
        <w:color w:val="000000"/>
        <w:sz w:val="16"/>
        <w:szCs w:val="16"/>
      </w:rPr>
      <w:t xml:space="preserve"> SGM 1740-A</w:t>
    </w:r>
    <w:r w:rsidR="00917FDB" w:rsidRPr="00917FDB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6D6E02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1F614E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58089E4" w:rsidR="00ED04EC" w:rsidRPr="00F50D98" w:rsidRDefault="00F50D98" w:rsidP="00466B0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4C81" w14:textId="77777777" w:rsidR="00A55006" w:rsidRDefault="00A55006">
      <w:r>
        <w:separator/>
      </w:r>
    </w:p>
  </w:footnote>
  <w:footnote w:type="continuationSeparator" w:id="0">
    <w:p w14:paraId="093BAB84" w14:textId="77777777" w:rsidR="00A55006" w:rsidRDefault="00A55006">
      <w:r>
        <w:continuationSeparator/>
      </w:r>
    </w:p>
  </w:footnote>
  <w:footnote w:type="continuationNotice" w:id="1">
    <w:p w14:paraId="2889938D" w14:textId="77777777" w:rsidR="00A55006" w:rsidRDefault="00A550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3BD79C7B" w:rsidR="00ED04EC" w:rsidRPr="00D94870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656A16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656A16" w:rsidRDefault="000F5383" w:rsidP="009E1F57">
          <w:pPr>
            <w:pStyle w:val="RefTableData"/>
          </w:pPr>
          <w:r w:rsidRPr="00656A16">
            <w:t>Reference number(s)</w:t>
          </w:r>
        </w:p>
      </w:tc>
    </w:tr>
    <w:tr w:rsidR="000F5383" w:rsidRPr="00656A16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5A10F42B" w:rsidR="000F5383" w:rsidRPr="00656A16" w:rsidRDefault="00656A16" w:rsidP="009E1F57">
          <w:pPr>
            <w:pStyle w:val="RefTableHeader"/>
          </w:pPr>
          <w:r w:rsidRPr="00656A16">
            <w:t>1740-A</w:t>
          </w:r>
        </w:p>
      </w:tc>
    </w:tr>
  </w:tbl>
  <w:p w14:paraId="5ACB788B" w14:textId="77777777" w:rsidR="000F5383" w:rsidRPr="00656A16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5581365"/>
    <w:multiLevelType w:val="hybridMultilevel"/>
    <w:tmpl w:val="72AA7B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D8818DD"/>
    <w:multiLevelType w:val="hybridMultilevel"/>
    <w:tmpl w:val="0E08C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35761"/>
    <w:multiLevelType w:val="multilevel"/>
    <w:tmpl w:val="C17C2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493343"/>
    <w:multiLevelType w:val="multilevel"/>
    <w:tmpl w:val="C284B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2532C"/>
    <w:multiLevelType w:val="hybridMultilevel"/>
    <w:tmpl w:val="F8DA44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40831"/>
    <w:multiLevelType w:val="hybridMultilevel"/>
    <w:tmpl w:val="BCD618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E303CE"/>
    <w:multiLevelType w:val="hybridMultilevel"/>
    <w:tmpl w:val="279254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D5EE4"/>
    <w:multiLevelType w:val="hybridMultilevel"/>
    <w:tmpl w:val="1A6AD0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11DE8"/>
    <w:multiLevelType w:val="hybridMultilevel"/>
    <w:tmpl w:val="2E167C8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401E9"/>
    <w:multiLevelType w:val="hybridMultilevel"/>
    <w:tmpl w:val="F4F609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05043"/>
    <w:multiLevelType w:val="hybridMultilevel"/>
    <w:tmpl w:val="E6B2FA1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31"/>
  </w:num>
  <w:num w:numId="3" w16cid:durableId="611589570">
    <w:abstractNumId w:val="23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34"/>
  </w:num>
  <w:num w:numId="18" w16cid:durableId="299724409">
    <w:abstractNumId w:val="28"/>
  </w:num>
  <w:num w:numId="19" w16cid:durableId="214585573">
    <w:abstractNumId w:val="14"/>
  </w:num>
  <w:num w:numId="20" w16cid:durableId="1289816170">
    <w:abstractNumId w:val="16"/>
  </w:num>
  <w:num w:numId="21" w16cid:durableId="1066490929">
    <w:abstractNumId w:val="35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9"/>
  </w:num>
  <w:num w:numId="25" w16cid:durableId="507404939">
    <w:abstractNumId w:val="19"/>
  </w:num>
  <w:num w:numId="26" w16cid:durableId="1220242283">
    <w:abstractNumId w:val="22"/>
  </w:num>
  <w:num w:numId="27" w16cid:durableId="1446189510">
    <w:abstractNumId w:val="33"/>
  </w:num>
  <w:num w:numId="28" w16cid:durableId="1105733130">
    <w:abstractNumId w:val="13"/>
  </w:num>
  <w:num w:numId="29" w16cid:durableId="2003267843">
    <w:abstractNumId w:val="26"/>
  </w:num>
  <w:num w:numId="30" w16cid:durableId="1781611188">
    <w:abstractNumId w:val="25"/>
  </w:num>
  <w:num w:numId="31" w16cid:durableId="1728643419">
    <w:abstractNumId w:val="18"/>
  </w:num>
  <w:num w:numId="32" w16cid:durableId="1886480170">
    <w:abstractNumId w:val="17"/>
  </w:num>
  <w:num w:numId="33" w16cid:durableId="240257049">
    <w:abstractNumId w:val="27"/>
  </w:num>
  <w:num w:numId="34" w16cid:durableId="1836529242">
    <w:abstractNumId w:val="24"/>
  </w:num>
  <w:num w:numId="35" w16cid:durableId="79954132">
    <w:abstractNumId w:val="21"/>
  </w:num>
  <w:num w:numId="36" w16cid:durableId="662004519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B5E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1E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B81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98D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69A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4F50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1B9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15E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A53"/>
    <w:rsid w:val="00242E29"/>
    <w:rsid w:val="00242F54"/>
    <w:rsid w:val="00243017"/>
    <w:rsid w:val="0024305D"/>
    <w:rsid w:val="00244442"/>
    <w:rsid w:val="0024498F"/>
    <w:rsid w:val="00246F41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979B0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D77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17F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87117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90F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08A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A9F"/>
    <w:rsid w:val="00431D2B"/>
    <w:rsid w:val="00431EB7"/>
    <w:rsid w:val="00433A31"/>
    <w:rsid w:val="00433E3A"/>
    <w:rsid w:val="00433EE2"/>
    <w:rsid w:val="004357BB"/>
    <w:rsid w:val="00435A60"/>
    <w:rsid w:val="00435E5E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B03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8E4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344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6B41"/>
    <w:rsid w:val="00517206"/>
    <w:rsid w:val="00517CF9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23D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595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013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6F7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5C4E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2A87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F57"/>
    <w:rsid w:val="005E3C25"/>
    <w:rsid w:val="005E4938"/>
    <w:rsid w:val="005E5674"/>
    <w:rsid w:val="005E5A43"/>
    <w:rsid w:val="005E5EF1"/>
    <w:rsid w:val="005E66E2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1812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59F"/>
    <w:rsid w:val="0065581E"/>
    <w:rsid w:val="00655AEE"/>
    <w:rsid w:val="00656A16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02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57F9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67096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9C4"/>
    <w:rsid w:val="007B0BFE"/>
    <w:rsid w:val="007B0D94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48A"/>
    <w:rsid w:val="00812E8C"/>
    <w:rsid w:val="008137C4"/>
    <w:rsid w:val="00813D5C"/>
    <w:rsid w:val="00813D9B"/>
    <w:rsid w:val="008140EC"/>
    <w:rsid w:val="00814A2D"/>
    <w:rsid w:val="00815BD0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35B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30E"/>
    <w:rsid w:val="008646F4"/>
    <w:rsid w:val="00864778"/>
    <w:rsid w:val="00865E4C"/>
    <w:rsid w:val="00866B5D"/>
    <w:rsid w:val="00866B93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0E0C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C5FC3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354F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3C0"/>
    <w:rsid w:val="00914B83"/>
    <w:rsid w:val="009159E4"/>
    <w:rsid w:val="009166D3"/>
    <w:rsid w:val="00916BA8"/>
    <w:rsid w:val="00917FDB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003A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6A5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1B9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C01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0648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618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006"/>
    <w:rsid w:val="00A55507"/>
    <w:rsid w:val="00A56903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3B3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1B7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D7C34"/>
    <w:rsid w:val="00AD7C9E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82D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DD7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70E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9789C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1F1A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7FF1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CE4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7F1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6E2C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342F"/>
    <w:rsid w:val="00CA3969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C7F30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1944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291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5CB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31D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870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E7C8E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5876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2D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44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76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472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5B3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19E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F4C5726"/>
    <w:rsid w:val="62C780E2"/>
    <w:rsid w:val="6C40768D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6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2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0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8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1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5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4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6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5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8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2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2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35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5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4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8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4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4A78A8-A09F-448B-8C5B-0D13A0521D3E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Increlex SGM 1740-A</vt:lpstr>
    </vt:vector>
  </TitlesOfParts>
  <Company>CVS Caremark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Increlex SGM 1740-A</dc:title>
  <dc:subject>Increlex SGM 1740-A</dc:subject>
  <dc:creator>CVS Caremark</dc:creator>
  <cp:keywords/>
  <cp:lastModifiedBy>Reynoso, Victor H</cp:lastModifiedBy>
  <cp:revision>5</cp:revision>
  <cp:lastPrinted>2024-04-30T08:51:00Z</cp:lastPrinted>
  <dcterms:created xsi:type="dcterms:W3CDTF">2025-04-09T18:35:00Z</dcterms:created>
  <dcterms:modified xsi:type="dcterms:W3CDTF">2025-04-09T18:43:00Z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938000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